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999E"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5274310" cy="2095500"/>
            <wp:effectExtent l="0" t="0" r="2540" b="0"/>
            <wp:docPr id="6081740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174082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C07BA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</w:rPr>
        <w:t>Figure S1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hint="eastAsia" w:ascii="Times New Roman" w:hAnsi="Times New Roman" w:cs="Times New Roman"/>
          <w:b/>
          <w:bCs/>
        </w:rPr>
        <w:t>Coiled-Coil motif site mutation in the dimerization of LBD16 or CRL1 does not affect transcriptional activation ability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hint="eastAsia" w:ascii="Times New Roman" w:hAnsi="Times New Roman" w:cs="Times New Roman"/>
          <w:b/>
          <w:bCs/>
        </w:rPr>
        <w:t xml:space="preserve">(A </w:t>
      </w:r>
      <w:r>
        <w:rPr>
          <w:rFonts w:hint="eastAsia" w:ascii="Times New Roman" w:hAnsi="Times New Roman" w:cs="Times New Roman"/>
        </w:rPr>
        <w:t>and</w:t>
      </w:r>
      <w:r>
        <w:rPr>
          <w:rFonts w:hint="eastAsia" w:ascii="Times New Roman" w:hAnsi="Times New Roman" w:cs="Times New Roman"/>
          <w:b/>
          <w:bCs/>
        </w:rPr>
        <w:t xml:space="preserve"> B)</w:t>
      </w:r>
      <w:r>
        <w:rPr>
          <w:rFonts w:hint="eastAsia" w:ascii="Times New Roman" w:hAnsi="Times New Roman" w:cs="Times New Roman"/>
        </w:rPr>
        <w:t xml:space="preserve"> The relative luciferase (LUC) activities were determined in rice protoplast cells co transfected with a reporter plasmid and an effector plasmid. A schematic diagram of the effector and reporter constructs used in the co-transfection experiments is shown in the left panel (A). Dual-luciferase assays showing the transcriptional activities of LBD16 or LBD16</w:t>
      </w:r>
      <w:r>
        <w:rPr>
          <w:rFonts w:hint="eastAsia" w:ascii="Times New Roman" w:hAnsi="Times New Roman" w:cs="Times New Roman"/>
          <w:vertAlign w:val="superscript"/>
        </w:rPr>
        <w:t>Q</w:t>
      </w:r>
      <w:r>
        <w:rPr>
          <w:rFonts w:hint="eastAsia" w:ascii="Times New Roman" w:hAnsi="Times New Roman" w:cs="Times New Roman"/>
        </w:rPr>
        <w:t xml:space="preserve"> and CRL1 or CRL1</w:t>
      </w:r>
      <w:r>
        <w:rPr>
          <w:rFonts w:hint="eastAsia" w:ascii="Times New Roman" w:hAnsi="Times New Roman" w:cs="Times New Roman"/>
          <w:vertAlign w:val="superscript"/>
        </w:rPr>
        <w:t>Q</w:t>
      </w:r>
      <w:r>
        <w:rPr>
          <w:rFonts w:hint="eastAsia" w:ascii="Times New Roman" w:hAnsi="Times New Roman" w:cs="Times New Roman"/>
        </w:rPr>
        <w:t xml:space="preserve"> under the control of the </w:t>
      </w:r>
      <w:r>
        <w:rPr>
          <w:rFonts w:hint="eastAsia" w:ascii="Times New Roman" w:hAnsi="Times New Roman" w:cs="Times New Roman"/>
          <w:i/>
          <w:iCs/>
        </w:rPr>
        <w:t>CaMV 35S</w:t>
      </w:r>
      <w:r>
        <w:rPr>
          <w:rFonts w:hint="eastAsia" w:ascii="Times New Roman" w:hAnsi="Times New Roman" w:cs="Times New Roman"/>
        </w:rPr>
        <w:t xml:space="preserve"> promoter in rice protoplasts were shown in the right panel (B). Data were normalized to the internal LUC reference, which was co transfected in the assay. Data are means ± SD (n = 3). The significant difference was calculated using one-way ANOVA with Tukey multiple comparison test. Different letters over the columns indicate significant differences (</w:t>
      </w:r>
      <w:r>
        <w:rPr>
          <w:rFonts w:hint="eastAsia" w:ascii="Times New Roman" w:hAnsi="Times New Roman" w:cs="Times New Roman"/>
          <w:i/>
          <w:iCs/>
        </w:rPr>
        <w:t>P</w:t>
      </w:r>
      <w:r>
        <w:rPr>
          <w:rFonts w:hint="eastAsia" w:ascii="Times New Roman" w:hAnsi="Times New Roman" w:cs="Times New Roman"/>
        </w:rPr>
        <w:t xml:space="preserve"> &lt; 0.05), and the same letters indicate no significant difference.</w:t>
      </w:r>
    </w:p>
    <w:p w14:paraId="477923B7">
      <w:pPr>
        <w:rPr>
          <w:rFonts w:ascii="Times New Roman" w:hAnsi="Times New Roman" w:cs="Times New Roman"/>
        </w:rPr>
      </w:pPr>
    </w:p>
    <w:p w14:paraId="1D348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4730750" cy="2207260"/>
            <wp:effectExtent l="0" t="0" r="0" b="0"/>
            <wp:docPr id="5661719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171944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0750" cy="220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728554"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 S2.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Coiled-Coil motif site mutation in the dimerization of LBD16 and CRL1 affect protein localization. </w:t>
      </w:r>
      <w:r>
        <w:rPr>
          <w:rFonts w:ascii="Times New Roman" w:hAnsi="Times New Roman" w:cs="Times New Roman"/>
        </w:rPr>
        <w:t>The abundance of CRL1, CRL1</w:t>
      </w:r>
      <w:r>
        <w:rPr>
          <w:rFonts w:ascii="Times New Roman" w:hAnsi="Times New Roman" w:cs="Times New Roman"/>
          <w:vertAlign w:val="superscript"/>
        </w:rPr>
        <w:t>Q</w:t>
      </w:r>
      <w:r>
        <w:rPr>
          <w:rFonts w:ascii="Times New Roman" w:hAnsi="Times New Roman" w:cs="Times New Roman"/>
        </w:rPr>
        <w:t>, LBD16 and LBD16</w:t>
      </w:r>
      <w:r>
        <w:rPr>
          <w:rFonts w:ascii="Times New Roman" w:hAnsi="Times New Roman" w:cs="Times New Roman"/>
          <w:vertAlign w:val="superscript"/>
        </w:rPr>
        <w:t>Q</w:t>
      </w:r>
      <w:r>
        <w:rPr>
          <w:rFonts w:ascii="Times New Roman" w:hAnsi="Times New Roman" w:cs="Times New Roman"/>
        </w:rPr>
        <w:t xml:space="preserve"> were assessed in cytoplasm and nucleus of </w:t>
      </w:r>
      <w:r>
        <w:rPr>
          <w:rFonts w:ascii="Times New Roman" w:hAnsi="Times New Roman" w:cs="Times New Roman"/>
          <w:i/>
          <w:iCs/>
        </w:rPr>
        <w:t>N. benthamiana</w:t>
      </w:r>
      <w:r>
        <w:rPr>
          <w:rFonts w:ascii="Times New Roman" w:hAnsi="Times New Roman" w:cs="Times New Roman"/>
        </w:rPr>
        <w:t xml:space="preserve"> leaves. Western blot analysis was conducted using anti-GFP antibody to detect CRL1, CRL1</w:t>
      </w:r>
      <w:r>
        <w:rPr>
          <w:rFonts w:ascii="Times New Roman" w:hAnsi="Times New Roman" w:cs="Times New Roman"/>
          <w:vertAlign w:val="superscript"/>
        </w:rPr>
        <w:t>Q</w:t>
      </w:r>
      <w:r>
        <w:rPr>
          <w:rFonts w:ascii="Times New Roman" w:hAnsi="Times New Roman" w:cs="Times New Roman"/>
        </w:rPr>
        <w:t>, LBD16 and LBD16</w:t>
      </w:r>
      <w:r>
        <w:rPr>
          <w:rFonts w:ascii="Times New Roman" w:hAnsi="Times New Roman" w:cs="Times New Roman"/>
          <w:vertAlign w:val="superscript"/>
        </w:rPr>
        <w:t>Q</w:t>
      </w:r>
      <w:r>
        <w:rPr>
          <w:rFonts w:ascii="Times New Roman" w:hAnsi="Times New Roman" w:cs="Times New Roman"/>
        </w:rPr>
        <w:t>. The purity of the nuclear and cytosolic fractions was examined by western blot using anti-H3 and anti-ACTIN antibodies, respectively. The relative intensity of the protein bands was calculated sing Image J.</w:t>
      </w:r>
    </w:p>
    <w:p w14:paraId="6B7A356E">
      <w:pPr>
        <w:rPr>
          <w:rFonts w:hint="eastAsia" w:ascii="Times New Roman" w:hAnsi="Times New Roman" w:cs="Times New Roman"/>
        </w:rPr>
      </w:pPr>
    </w:p>
    <w:p w14:paraId="4A60B765"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4288790" cy="3951605"/>
            <wp:effectExtent l="0" t="0" r="0" b="0"/>
            <wp:docPr id="4518242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824243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1930" cy="39640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687009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</w:rPr>
        <w:t>Figure S3</w:t>
      </w:r>
      <w:r>
        <w:rPr>
          <w:rFonts w:hint="eastAsia" w:ascii="Times New Roman" w:hAnsi="Times New Roman" w:cs="Times New Roman"/>
        </w:rPr>
        <w:t xml:space="preserve">. Crown root phenotype and statistical data of WT (wild type), </w:t>
      </w:r>
      <w:r>
        <w:rPr>
          <w:rFonts w:hint="eastAsia" w:ascii="Times New Roman" w:hAnsi="Times New Roman" w:cs="Times New Roman"/>
          <w:i/>
          <w:iCs/>
        </w:rPr>
        <w:t>crl1</w:t>
      </w:r>
      <w:r>
        <w:rPr>
          <w:rFonts w:hint="eastAsia" w:ascii="Times New Roman" w:hAnsi="Times New Roman" w:cs="Times New Roman"/>
        </w:rPr>
        <w:t xml:space="preserve"> (A) and </w:t>
      </w:r>
      <w:r>
        <w:rPr>
          <w:rFonts w:hint="eastAsia" w:ascii="Times New Roman" w:hAnsi="Times New Roman" w:cs="Times New Roman"/>
          <w:i/>
          <w:iCs/>
        </w:rPr>
        <w:t>lbd16</w:t>
      </w:r>
      <w:r>
        <w:rPr>
          <w:rFonts w:hint="eastAsia" w:ascii="Times New Roman" w:hAnsi="Times New Roman" w:cs="Times New Roman"/>
        </w:rPr>
        <w:t xml:space="preserve"> (B) at the 7-day seedlings after germination. Data are presented as means ± SD (n=10). Student’s </w:t>
      </w:r>
      <w:r>
        <w:rPr>
          <w:rFonts w:hint="eastAsia" w:ascii="Times New Roman" w:hAnsi="Times New Roman" w:cs="Times New Roman"/>
          <w:i/>
          <w:iCs/>
        </w:rPr>
        <w:t>t</w:t>
      </w:r>
      <w:r>
        <w:rPr>
          <w:rFonts w:hint="eastAsia" w:ascii="Times New Roman" w:hAnsi="Times New Roman" w:cs="Times New Roman"/>
        </w:rPr>
        <w:t xml:space="preserve"> test was used to calculate </w:t>
      </w:r>
      <w:r>
        <w:rPr>
          <w:rFonts w:hint="eastAsia" w:ascii="Times New Roman" w:hAnsi="Times New Roman" w:cs="Times New Roman"/>
          <w:i/>
          <w:iCs/>
        </w:rPr>
        <w:t>P</w:t>
      </w:r>
      <w:r>
        <w:rPr>
          <w:rFonts w:hint="eastAsia" w:ascii="Times New Roman" w:hAnsi="Times New Roman" w:cs="Times New Roman"/>
        </w:rPr>
        <w:t xml:space="preserve"> value (****</w:t>
      </w:r>
      <w:r>
        <w:rPr>
          <w:rFonts w:hint="eastAsia" w:ascii="Times New Roman" w:hAnsi="Times New Roman" w:cs="Times New Roman"/>
          <w:i/>
          <w:iCs/>
        </w:rPr>
        <w:t>P</w:t>
      </w:r>
      <w:r>
        <w:rPr>
          <w:rFonts w:hint="eastAsia" w:ascii="Times New Roman" w:hAnsi="Times New Roman" w:cs="Times New Roman"/>
        </w:rPr>
        <w:t xml:space="preserve"> &lt; 0.0001). Bar = 5 cm.</w:t>
      </w:r>
    </w:p>
    <w:p w14:paraId="2F82EC2B"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505450" cy="3581400"/>
            <wp:effectExtent l="0" t="0" r="0" b="0"/>
            <wp:docPr id="62871290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71290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EFB02">
      <w:pPr>
        <w:rPr>
          <w:rFonts w:hint="eastAsia" w:ascii="Times New Roman" w:hAnsi="Times New Roman" w:cs="Times New Roman"/>
        </w:rPr>
      </w:pPr>
    </w:p>
    <w:p w14:paraId="1E1071BE"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</w:rPr>
        <w:t xml:space="preserve">Figure </w:t>
      </w:r>
      <w:r>
        <w:rPr>
          <w:rFonts w:hint="eastAsia" w:ascii="Times New Roman" w:hAnsi="Times New Roman" w:cs="Times New Roman"/>
          <w:b/>
          <w:bCs/>
        </w:rPr>
        <w:t>S4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hint="eastAsia" w:ascii="Times New Roman" w:hAnsi="Times New Roman" w:cs="Times New Roman"/>
          <w:b/>
          <w:bCs/>
        </w:rPr>
        <w:t>Identification of positive transgenic lines.</w:t>
      </w:r>
      <w:r>
        <w:rPr>
          <w:rFonts w:hint="eastAsia" w:ascii="Times New Roman" w:hAnsi="Times New Roman" w:cs="Times New Roman"/>
        </w:rPr>
        <w:t xml:space="preserve"> (A, B and F) Relative expression levels of </w:t>
      </w:r>
      <w:r>
        <w:rPr>
          <w:rFonts w:hint="eastAsia" w:ascii="Times New Roman" w:hAnsi="Times New Roman" w:cs="Times New Roman"/>
          <w:i/>
          <w:iCs/>
        </w:rPr>
        <w:t>CRL1</w:t>
      </w:r>
      <w:r>
        <w:rPr>
          <w:rFonts w:hint="eastAsia" w:ascii="Times New Roman" w:hAnsi="Times New Roman" w:cs="Times New Roman"/>
        </w:rPr>
        <w:t xml:space="preserve"> in WT, </w:t>
      </w:r>
      <w:r>
        <w:rPr>
          <w:rFonts w:hint="eastAsia" w:ascii="Times New Roman" w:hAnsi="Times New Roman" w:cs="Times New Roman"/>
          <w:i/>
          <w:iCs/>
        </w:rPr>
        <w:t>OECRL1/crl1</w:t>
      </w:r>
      <w:r>
        <w:rPr>
          <w:rFonts w:hint="eastAsia" w:ascii="Times New Roman" w:hAnsi="Times New Roman" w:cs="Times New Roman"/>
        </w:rPr>
        <w:t xml:space="preserve"> (A), </w:t>
      </w:r>
      <w:r>
        <w:rPr>
          <w:rFonts w:hint="eastAsia" w:ascii="Times New Roman" w:hAnsi="Times New Roman" w:cs="Times New Roman"/>
          <w:i/>
          <w:iCs/>
        </w:rPr>
        <w:t>OECRL1</w:t>
      </w:r>
      <w:r>
        <w:rPr>
          <w:rFonts w:hint="eastAsia" w:ascii="Times New Roman" w:hAnsi="Times New Roman" w:cs="Times New Roman"/>
          <w:i/>
          <w:iCs/>
          <w:vertAlign w:val="superscript"/>
        </w:rPr>
        <w:t>Q</w:t>
      </w:r>
      <w:r>
        <w:rPr>
          <w:rFonts w:hint="eastAsia" w:ascii="Times New Roman" w:hAnsi="Times New Roman" w:cs="Times New Roman"/>
          <w:i/>
          <w:iCs/>
        </w:rPr>
        <w:t>/crl1</w:t>
      </w:r>
      <w:r>
        <w:rPr>
          <w:rFonts w:hint="eastAsia" w:ascii="Times New Roman" w:hAnsi="Times New Roman" w:cs="Times New Roman"/>
        </w:rPr>
        <w:t xml:space="preserve"> (B) and </w:t>
      </w:r>
      <w:r>
        <w:rPr>
          <w:rFonts w:hint="eastAsia" w:ascii="Times New Roman" w:hAnsi="Times New Roman" w:cs="Times New Roman"/>
          <w:i/>
          <w:iCs/>
        </w:rPr>
        <w:t>OECRL1/lbd16-1</w:t>
      </w:r>
      <w:r>
        <w:rPr>
          <w:rFonts w:hint="eastAsia" w:ascii="Times New Roman" w:hAnsi="Times New Roman" w:cs="Times New Roman"/>
        </w:rPr>
        <w:t xml:space="preserve"> (F). (C, D and E) Relative expression levels of </w:t>
      </w:r>
      <w:r>
        <w:rPr>
          <w:rFonts w:hint="eastAsia" w:ascii="Times New Roman" w:hAnsi="Times New Roman" w:cs="Times New Roman"/>
          <w:i/>
          <w:iCs/>
        </w:rPr>
        <w:t>LBD16</w:t>
      </w:r>
      <w:r>
        <w:rPr>
          <w:rFonts w:hint="eastAsia" w:ascii="Times New Roman" w:hAnsi="Times New Roman" w:cs="Times New Roman"/>
        </w:rPr>
        <w:t xml:space="preserve"> in WT, </w:t>
      </w:r>
      <w:r>
        <w:rPr>
          <w:rFonts w:hint="eastAsia" w:ascii="Times New Roman" w:hAnsi="Times New Roman" w:cs="Times New Roman"/>
          <w:i/>
          <w:iCs/>
        </w:rPr>
        <w:t>OE</w:t>
      </w:r>
      <w:r>
        <w:rPr>
          <w:rFonts w:ascii="Times New Roman" w:hAnsi="Times New Roman" w:cs="Times New Roman"/>
          <w:i/>
          <w:iCs/>
        </w:rPr>
        <w:t>LBD</w:t>
      </w:r>
      <w:r>
        <w:rPr>
          <w:rFonts w:hint="eastAsia" w:ascii="Times New Roman" w:hAnsi="Times New Roman" w:cs="Times New Roman"/>
          <w:i/>
          <w:iCs/>
        </w:rPr>
        <w:t>16/crl1</w:t>
      </w:r>
      <w:r>
        <w:rPr>
          <w:rFonts w:hint="eastAsia" w:ascii="Times New Roman" w:hAnsi="Times New Roman" w:cs="Times New Roman"/>
        </w:rPr>
        <w:t xml:space="preserve"> (C), </w:t>
      </w:r>
      <w:r>
        <w:rPr>
          <w:rFonts w:hint="eastAsia" w:ascii="Times New Roman" w:hAnsi="Times New Roman" w:cs="Times New Roman"/>
          <w:i/>
          <w:iCs/>
        </w:rPr>
        <w:t>OE</w:t>
      </w:r>
      <w:r>
        <w:rPr>
          <w:rFonts w:ascii="Times New Roman" w:hAnsi="Times New Roman" w:cs="Times New Roman"/>
          <w:i/>
          <w:iCs/>
        </w:rPr>
        <w:t>LBD</w:t>
      </w:r>
      <w:r>
        <w:rPr>
          <w:rFonts w:hint="eastAsia" w:ascii="Times New Roman" w:hAnsi="Times New Roman" w:cs="Times New Roman"/>
          <w:i/>
          <w:iCs/>
        </w:rPr>
        <w:t>16/lbd16-1</w:t>
      </w:r>
      <w:r>
        <w:rPr>
          <w:rFonts w:hint="eastAsia" w:ascii="Times New Roman" w:hAnsi="Times New Roman" w:cs="Times New Roman"/>
        </w:rPr>
        <w:t xml:space="preserve"> (D) and </w:t>
      </w:r>
      <w:r>
        <w:rPr>
          <w:rFonts w:hint="eastAsia" w:ascii="Times New Roman" w:hAnsi="Times New Roman" w:cs="Times New Roman"/>
          <w:i/>
          <w:iCs/>
        </w:rPr>
        <w:t>OE</w:t>
      </w:r>
      <w:r>
        <w:rPr>
          <w:rFonts w:ascii="Times New Roman" w:hAnsi="Times New Roman" w:cs="Times New Roman"/>
          <w:i/>
          <w:iCs/>
        </w:rPr>
        <w:t>LBD</w:t>
      </w:r>
      <w:r>
        <w:rPr>
          <w:rFonts w:hint="eastAsia" w:ascii="Times New Roman" w:hAnsi="Times New Roman" w:cs="Times New Roman"/>
          <w:i/>
          <w:iCs/>
        </w:rPr>
        <w:t>16</w:t>
      </w:r>
      <w:r>
        <w:rPr>
          <w:rFonts w:hint="eastAsia" w:ascii="Times New Roman" w:hAnsi="Times New Roman" w:cs="Times New Roman"/>
          <w:i/>
          <w:iCs/>
          <w:vertAlign w:val="superscript"/>
        </w:rPr>
        <w:t>Q</w:t>
      </w:r>
      <w:r>
        <w:rPr>
          <w:rFonts w:hint="eastAsia" w:ascii="Times New Roman" w:hAnsi="Times New Roman" w:cs="Times New Roman"/>
          <w:i/>
          <w:iCs/>
        </w:rPr>
        <w:t>/lbd16-1</w:t>
      </w:r>
      <w:r>
        <w:rPr>
          <w:rFonts w:hint="eastAsia" w:ascii="Times New Roman" w:hAnsi="Times New Roman" w:cs="Times New Roman"/>
        </w:rPr>
        <w:t xml:space="preserve"> (E) detected by qRT-PCR. Data in A to F are presented as means ± SE from three biological replicates. The 2</w:t>
      </w:r>
      <w:r>
        <w:rPr>
          <w:rFonts w:hint="eastAsia" w:ascii="Times New Roman" w:hAnsi="Times New Roman" w:cs="Times New Roman"/>
          <w:vertAlign w:val="superscript"/>
        </w:rPr>
        <w:t>-</w:t>
      </w:r>
      <w:r>
        <w:rPr>
          <w:rFonts w:hint="eastAsia" w:ascii="Cambria Math" w:hAnsi="Cambria Math" w:cs="Cambria Math"/>
          <w:vertAlign w:val="superscript"/>
        </w:rPr>
        <w:t>△△</w:t>
      </w:r>
      <w:r>
        <w:rPr>
          <w:rFonts w:hint="eastAsia" w:ascii="Times New Roman" w:hAnsi="Times New Roman" w:cs="Times New Roman"/>
          <w:vertAlign w:val="superscript"/>
        </w:rPr>
        <w:t>ct</w:t>
      </w:r>
      <w:r>
        <w:rPr>
          <w:rFonts w:hint="eastAsia" w:ascii="Times New Roman" w:hAnsi="Times New Roman" w:cs="Times New Roman"/>
        </w:rPr>
        <w:t xml:space="preserve"> method was used for the quantification of relative expression levels. The gene </w:t>
      </w:r>
      <w:r>
        <w:rPr>
          <w:rFonts w:hint="eastAsia" w:ascii="Times New Roman" w:hAnsi="Times New Roman" w:cs="Times New Roman"/>
          <w:i/>
          <w:iCs/>
        </w:rPr>
        <w:t>ACTIN1</w:t>
      </w:r>
      <w:r>
        <w:rPr>
          <w:rFonts w:hint="eastAsia" w:ascii="Times New Roman" w:hAnsi="Times New Roman" w:cs="Times New Roman"/>
        </w:rPr>
        <w:t xml:space="preserve"> served as an internal control and PCR signals were normalized to those of </w:t>
      </w:r>
      <w:r>
        <w:rPr>
          <w:rFonts w:hint="eastAsia" w:ascii="Times New Roman" w:hAnsi="Times New Roman" w:cs="Times New Roman"/>
          <w:i/>
          <w:iCs/>
        </w:rPr>
        <w:t>ACTIN1</w:t>
      </w:r>
      <w:r>
        <w:rPr>
          <w:rFonts w:hint="eastAsia" w:ascii="Times New Roman" w:hAnsi="Times New Roman" w:cs="Times New Roman"/>
        </w:rPr>
        <w:t xml:space="preserve"> transcripts (set as 1).</w:t>
      </w:r>
    </w:p>
    <w:p w14:paraId="77E83CCB">
      <w:pPr>
        <w:rPr>
          <w:rFonts w:hint="eastAsia" w:ascii="Times New Roman" w:hAnsi="Times New Roman" w:cs="Times New Roman"/>
        </w:rPr>
      </w:pPr>
    </w:p>
    <w:p w14:paraId="23712F7C">
      <w:pPr>
        <w:rPr>
          <w:rFonts w:hint="eastAsia" w:ascii="Times New Roman" w:hAnsi="Times New Roman" w:cs="Times New Roman"/>
        </w:rPr>
      </w:pPr>
    </w:p>
    <w:p w14:paraId="483765B6">
      <w:pPr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0"/>
          <w:szCs w:val="20"/>
        </w:rPr>
        <w:t xml:space="preserve">Table 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0"/>
          <w:szCs w:val="20"/>
          <w:lang w:val="en-US" w:eastAsia="zh-CN"/>
        </w:rPr>
        <w:t>S</w:t>
      </w: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000000"/>
          <w:kern w:val="0"/>
          <w:sz w:val="20"/>
          <w:szCs w:val="20"/>
        </w:rPr>
        <w:t>1.</w:t>
      </w:r>
      <w:r>
        <w:rPr>
          <w:rFonts w:ascii="Times New Roman" w:hAnsi="Times New Roman" w:eastAsia="宋体" w:cs="Times New Roman"/>
          <w:color w:val="000000"/>
          <w:kern w:val="0"/>
          <w:sz w:val="20"/>
          <w:szCs w:val="20"/>
        </w:rPr>
        <w:t xml:space="preserve"> List of the primers used in this study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3221"/>
        <w:gridCol w:w="3366"/>
        <w:gridCol w:w="873"/>
      </w:tblGrid>
      <w:tr w14:paraId="1139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8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E3C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Primer name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983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Forward primer sequence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F50C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Reverse primer sequence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B5B4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Purpose</w:t>
            </w:r>
          </w:p>
        </w:tc>
      </w:tr>
      <w:tr w14:paraId="32BBF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CD35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OE-CRL1 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50D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ACGATAGCCGGTACCGGTACCATGACGGGATTTGGATCGCC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0C87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ATGATCTTTGTAATCGGATCCCGAGCGGTTAAGGTAAGCGTAGG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7ED0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For construction of transgenic plants </w:t>
            </w:r>
          </w:p>
        </w:tc>
      </w:tr>
      <w:tr w14:paraId="223E6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FE339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OE-CRL1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CE4A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ACGATAGCCGGTACCGGTACCATGACGGGATTTGGATCGCC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E0BD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ATGATCTTTGTAATCGGATCCCGAGCGGTTAAGGTAAGCGTAGG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8A06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3B7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3D1B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OE-LBD16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0FC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ACGATAGCCGGTACCGGTACCATGGCTGGTGCTACGGCT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CE60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ATGATCTTTGTAATCGGATCCCTGAGAGTAGTTGGAGGTTGATCTC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1CFA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59B4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16A5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OE-LBD16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A8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ACGATAGCCGGTACCGGTACCATGGCTGGTGCTACGGCT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8702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ATGATCTTTGTAATCGGATCCCTGAGAGTAGTTGGAGGTTGATCTC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2FFC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10F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B3CA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Q actin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6FBD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TGTATGCCAGTGGTCGTACCA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339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CCAGCAAGGTCGAGACGAA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A2868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For quantitative real-time PCR</w:t>
            </w:r>
          </w:p>
        </w:tc>
      </w:tr>
      <w:tr w14:paraId="4C56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4761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46B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3C6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AGTGCTGCATGTAGTCCGAC</w:t>
            </w: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9949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DF1F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C16D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B49B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8BB0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AGTGCTGCATGTAGTCCGAC</w:t>
            </w: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0B5C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0C40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07CDA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2901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D79A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CTGAGAGTAGTTGGAGGTTGATCTC</w:t>
            </w: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7FB15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301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6653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E506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02A0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CTGAGAGTAGTTGGAGGTTGATCTC</w:t>
            </w: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8625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1BA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9AF1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60BD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ATGACGGGATTTGGATCGC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479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CGAGCGGTTAAGGTAAGCGT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8211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For transient transactivation assays </w:t>
            </w:r>
          </w:p>
        </w:tc>
      </w:tr>
      <w:tr w14:paraId="36893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7CF7F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FF9C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ATGACGGGATTTGGATCGC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E1B7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CGAGCGGTTAAGGTAAGCGT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F70D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19B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A1DB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196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BC9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0D8D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57B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122C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5FE2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3C6D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F1B6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E9E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753B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CRL1-His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2AC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GCCATGGCTGATATCGGATCCATGACGGGATTTGGATCGCC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5060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GACGGAGCTCGAATTCGGATCCCGAGCGGTTAAGGTAAGCGTAGG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556C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For pull-down assays</w:t>
            </w:r>
          </w:p>
        </w:tc>
      </w:tr>
      <w:tr w14:paraId="31E98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62F2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-His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C52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GCCATGGCTGATATCGGATCCATGACGGGATTTGGATCGCC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6C1C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GACGGAGCTCGAATTCGGATCCCGAGCGGTTAAGGTAAGCGTAGG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51A9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951F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31B8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CRL1-GST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45A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TTCCAGGGGCCCCTGGGATCCATGACGGGATTTGGATCGCC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AB8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ACCCGGGAATTCCGGGGATCCCGAGCGGTTAAGGTAAGCGTAGG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38E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CB0D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23E65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-GST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517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TTCCAGGGGCCCCTGGGATCCATGACGGGATTTGGATCGCC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A1C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ACCCGGGAATTCCGGGGATCCCGAGCGGTTAAGGTAAGCGTAGG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8834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507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C8D0A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LBD16-His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B7D3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GCCATGGCTGATATCGGATCCATGGCTGGTGCTACGGCT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EA25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GACGGAGCTCGAATTCGGATCCCTGAGAGTAGTTGGAGGTTGATCTC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69E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704F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6BCB1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-His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AA0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GCCATGGCTGATATCGGATCCATGGCTGGTGCTACGGCT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365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GACGGAGCTCGAATTCGGATCCCTGAGAGTAGTTGGAGGTTGATCTC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B43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41D4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FA5A1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LBD16-GST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DAD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TTCCAGGGGCCCCTGGGATCCATGGCTGGTGCTACGGCT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563A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ACCCGGGAATTCCGGGGATCCCTGAGAGTAGTTGGAGGTTG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560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A9CE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D8BF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-GST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0CA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TTCCAGGGGCCCCTGGGATCCATGGCTGGTGCTACGGCT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206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ACCCGGGAATTCCGGGGATCCCTGAGAGTAGTTGGAGGTTG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C296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703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47E40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CRL1-nLUC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474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ATGGCTGGTGCTACGGCTGGTACCATGACGGGATTTGGATCGCC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7232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CGCGTACGAGATCTGGTCGACCGAGCGGTTAAGGTAAGCGTAGG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013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For LCI assays</w:t>
            </w:r>
          </w:p>
        </w:tc>
      </w:tr>
      <w:tr w14:paraId="25D56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99162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-nLUC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B247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ATGGCTGGTGCTACGGCTGGTACCATGACGGGATTTGGATCGCC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27DC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CGCGTACGAGATCTGGTCGACCGAGCGGTTAAGGTAAGCGTAGG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F72D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F48E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94F66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cLUC-CRL1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9E1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TACGCGTCCCGGGGCGGTACCATGACGGGATTTGGATCGCC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8043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ACGAAAGCTCTGCAGGTCGACACGAAAGCTCTGCAGGTCGAC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662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53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64FD3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cLUC-CRL1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1509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TACGCGTCCCGGGGCGGTACCATGACGGGATTTGGATCGCC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D329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ACGAAAGCTCTGCAGGTCGACACGAAAGCTCTGCAGGTCGAC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A386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777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1929F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LBD16-nLUC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CE1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B9D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CGCGTACGAGATCTGGTCGACCTGAGAGTAGTTGGAGGTTGATCTC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D7DF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1C1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78C20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-nLUC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6E8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ATGGCTGGTGCTACGGCTATGGCTGGTGCTACGGCT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744A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CGCGTACGAGATCTGGTCGACCTGAGAGTAGTTGGAGGTTGATCTC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67F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EAF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7097F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cLUC-LBD16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414D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TACGCGTCCCGGGGCGGTACCATGGCTGGTGCTACGGCT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75C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ACGAAAGCTCTGCAGGTCGACCTGAGAGTAGTTGGAGGTTGATCTC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39F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21F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FF5F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cLUC-LBD16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CCF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TACGCGTCCCGGGGCGGTACCATGGCTGGTGCTACGGCT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6A18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ACGAAAGCTCTGCAGGTCGACCTGAGAGTAGTTGGAGGTTGATCTC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C5C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412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920E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CRL1-GFP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CF65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CTCTCGAGCTTTCGCGAGCTCATGACGGGATTTGGATCGCC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2ED2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CAGGTCGACTCTAGAGGATCCCGAGCGGTTAAGGTAAGCGTAGG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B59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For Co-IP assays and subcellular localization</w:t>
            </w:r>
          </w:p>
        </w:tc>
      </w:tr>
      <w:tr w14:paraId="1943C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81EB7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-GFP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28A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CTCTCGAGCTTTCGCGAGCTCATGACGGGATTTGGATCGCC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73DC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CAGGTCGACTCTAGAGGATCCCGAGCGGTTAAGGTAAGCGTAGG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A9E9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6C5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342A3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LBD16-GFP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466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CTCTCGAGCTTTCGCGAGCTCATGGCTGGTGCTACGGCT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89E9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CAGGTCGACTCTAGAGGATCCCTGAGAGTAGTTGGAGGTTG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8551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E89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1C854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-GFP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055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CTCTCGAGCTTTCGCGAGCTCATGGCTGGTGCTACGGCT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C0D9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CAGGTCGACTCTAGAGGATCCCTGAGAGTAGTTGGAGGTTG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1CB1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54C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1E44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CRL1-FLAG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F30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TCCTCTAGAGTCGACCTGCAGATGACGGGATTTGGATCGCC 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6B1E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CTCGAGCTTGCATGCCTGCAGCGAGCGGTTAAGGTAAGCGTAGG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AF6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C0C1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606F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CRL1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-FLAG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39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TCCTCTAGAGTCGACCTGCAGATGACGGGATTTGGATCGCC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84A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CTCGAGCTTGCATGCCTGCAGCGAGCGGTTAAGGTAAGCGTAGG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DD25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7A6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AC683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LBD16-FLAG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E611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TCCTCTAGAGTCGACCTGCAGATGGCTGGTGCTACGGCT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060F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CTCGAGCTTGCATGCCTGCAGCTGAGAGTAGTTGGAGGTTG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A06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746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6418B"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LBD16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</w:rPr>
              <w:t>-FLAG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553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TCCTCTAGAGTCGACCTGCAGATGGCTGGTGCTACGGCT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B62D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CTCGAGCTTGCATGCCTGCAGCTGAGAGTAGTTGGAGGTTG</w:t>
            </w: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CAF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CED769E">
      <w:pPr>
        <w:rPr>
          <w:rFonts w:hint="eastAsia" w:ascii="Times New Roman" w:hAnsi="Times New Roman" w:cs="Times New Roman"/>
        </w:rPr>
      </w:pPr>
    </w:p>
    <w:p w14:paraId="2CEC5B46">
      <w:pPr>
        <w:rPr>
          <w:rFonts w:hint="eastAsia" w:ascii="Times New Roman" w:hAnsi="Times New Roman" w:cs="Times New Roman"/>
        </w:rPr>
      </w:pPr>
    </w:p>
    <w:p w14:paraId="02765809">
      <w:pPr>
        <w:rPr>
          <w:rFonts w:hint="eastAsia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195"/>
    <w:rsid w:val="00196256"/>
    <w:rsid w:val="001B203E"/>
    <w:rsid w:val="0055659A"/>
    <w:rsid w:val="00746F7F"/>
    <w:rsid w:val="00795195"/>
    <w:rsid w:val="007F3AFA"/>
    <w:rsid w:val="00861F8F"/>
    <w:rsid w:val="00A1629A"/>
    <w:rsid w:val="00A30ED1"/>
    <w:rsid w:val="00ED6836"/>
    <w:rsid w:val="2E660E1B"/>
    <w:rsid w:val="6800686A"/>
    <w:rsid w:val="76CD2421"/>
    <w:rsid w:val="78A0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  <w:style w:type="paragraph" w:customStyle="1" w:styleId="8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13408-61A1-4933-AF44-B03CF20608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535</Words>
  <Characters>5274</Characters>
  <Lines>41</Lines>
  <Paragraphs>11</Paragraphs>
  <TotalTime>7178</TotalTime>
  <ScaleCrop>false</ScaleCrop>
  <LinksUpToDate>false</LinksUpToDate>
  <CharactersWithSpaces>5681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2026-04-28T08:44:00Z</dcterms:created>
  <dc:creator>ADMIN</dc:creator>
  <cp:lastModifiedBy>user</cp:lastModifiedBy>
  <dcterms:modified xsi:type="dcterms:W3CDTF">2026-06-24T14:50:56Z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eyJoZGlkIjoiYjkyZmNhZmMwYTRkMzdjNDc0ZDBiODA4ZTNmNjg2YzYiLCJ1c2VySWQiOiIxNzg5NjgyMDE2In0=</vt:lpwstr>
  </property>
  <property fmtid="{D5CDD505-2E9C-101B-9397-08002B2CF9AE}" pid="3" name="KSOProductBuildVer">
    <vt:lpwstr>2052-12.1.0.26895</vt:lpwstr>
  </property>
  <property fmtid="{D5CDD505-2E9C-101B-9397-08002B2CF9AE}" pid="4" name="ICV">
    <vt:lpwstr>C45BCC92EE174C94B9AB6F599472702E_12</vt:lpwstr>
  </property>
</Properties>
</file>